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E9885" w14:textId="1CB525BB" w:rsidR="00036DC8" w:rsidRPr="002F4C00" w:rsidRDefault="00036DC8" w:rsidP="00036DC8">
      <w:pPr>
        <w:spacing w:after="0" w:line="240" w:lineRule="auto"/>
        <w:ind w:left="426" w:hanging="426"/>
      </w:pPr>
      <w:r w:rsidRPr="002F4C00">
        <w:t xml:space="preserve">- Gloria Staffieri, </w:t>
      </w:r>
      <w:r w:rsidRPr="002F4C00">
        <w:rPr>
          <w:i/>
          <w:iCs/>
        </w:rPr>
        <w:t>Un teatro tutto cantato. Introduzione all’opera italiana</w:t>
      </w:r>
      <w:r w:rsidRPr="002F4C00">
        <w:t>, Roma, Carocci, 2013.</w:t>
      </w:r>
    </w:p>
    <w:p w14:paraId="6AADF237" w14:textId="12D63ED8" w:rsidR="00036DC8" w:rsidRPr="002F4C00" w:rsidRDefault="00036DC8" w:rsidP="00036DC8">
      <w:pPr>
        <w:spacing w:after="0" w:line="240" w:lineRule="auto"/>
        <w:ind w:left="426" w:hanging="426"/>
      </w:pPr>
      <w:r w:rsidRPr="002F4C00">
        <w:t xml:space="preserve">- Lorenzo Bianconi, </w:t>
      </w:r>
      <w:r w:rsidRPr="002F4C00">
        <w:rPr>
          <w:i/>
          <w:iCs/>
        </w:rPr>
        <w:t>Il teatro d’opera in Italia</w:t>
      </w:r>
      <w:r w:rsidRPr="002F4C00">
        <w:t xml:space="preserve">, Bologna, Il Mulino, 1993; </w:t>
      </w:r>
    </w:p>
    <w:p w14:paraId="1172DD84" w14:textId="7BAA6E3B" w:rsidR="00036DC8" w:rsidRPr="002F4C00" w:rsidRDefault="00036DC8" w:rsidP="00036DC8">
      <w:pPr>
        <w:spacing w:after="0" w:line="240" w:lineRule="auto"/>
        <w:ind w:left="426" w:hanging="426"/>
      </w:pPr>
      <w:r w:rsidRPr="002F4C00">
        <w:t xml:space="preserve">- Gilles De Van, </w:t>
      </w:r>
      <w:r w:rsidRPr="002F4C00">
        <w:rPr>
          <w:i/>
          <w:iCs/>
        </w:rPr>
        <w:t>Teatralità francese e senso scenico italiano nell’opera dell’Ottocento, in La realizzazione scenica dello spettacolo verdiano. Atti del congresso internazionale di studi (Parma, 28-30 settembre 1994)</w:t>
      </w:r>
      <w:r w:rsidRPr="002F4C00">
        <w:t>, a cura di Pierluigi Petrobelli e Fabrizio Della Seta, Parma, Istituto di Studi Verdiani, 1996, pp. 167-186.</w:t>
      </w:r>
    </w:p>
    <w:p w14:paraId="7EA8CF4A" w14:textId="77777777" w:rsidR="00036DC8" w:rsidRPr="002F4C00" w:rsidRDefault="00036DC8" w:rsidP="00036DC8">
      <w:pPr>
        <w:spacing w:after="0" w:line="240" w:lineRule="auto"/>
        <w:ind w:left="426" w:hanging="426"/>
      </w:pPr>
    </w:p>
    <w:p w14:paraId="2D254EE2" w14:textId="75CD250A" w:rsidR="00036DC8" w:rsidRPr="002F4C00" w:rsidRDefault="00036DC8" w:rsidP="00036DC8">
      <w:pPr>
        <w:spacing w:after="0" w:line="240" w:lineRule="auto"/>
        <w:ind w:left="426" w:hanging="426"/>
      </w:pPr>
      <w:r w:rsidRPr="002F4C00">
        <w:t xml:space="preserve">Ascolto integrale e studio della bibliografia relativa </w:t>
      </w:r>
      <w:r w:rsidR="00B221BD" w:rsidRPr="002F4C00">
        <w:t>dell’</w:t>
      </w:r>
      <w:r w:rsidR="00B221BD" w:rsidRPr="002F4C00">
        <w:rPr>
          <w:i/>
          <w:iCs/>
        </w:rPr>
        <w:t xml:space="preserve">Elisir d’amore </w:t>
      </w:r>
      <w:r w:rsidR="00B221BD" w:rsidRPr="002F4C00">
        <w:t xml:space="preserve">di Romani - Donizetti </w:t>
      </w:r>
    </w:p>
    <w:p w14:paraId="388CFE56" w14:textId="77777777" w:rsidR="00B221BD" w:rsidRPr="002F4C00" w:rsidRDefault="00B221BD" w:rsidP="00B221BD">
      <w:pPr>
        <w:tabs>
          <w:tab w:val="left" w:pos="7513"/>
        </w:tabs>
        <w:autoSpaceDE w:val="0"/>
        <w:autoSpaceDN w:val="0"/>
        <w:adjustRightInd w:val="0"/>
        <w:spacing w:after="0" w:line="240" w:lineRule="auto"/>
        <w:ind w:left="1701" w:hanging="567"/>
        <w:jc w:val="both"/>
      </w:pPr>
      <w:r w:rsidRPr="002F4C00">
        <w:t xml:space="preserve">Paolo Russo, </w:t>
      </w:r>
      <w:r w:rsidRPr="002F4C00">
        <w:rPr>
          <w:i/>
        </w:rPr>
        <w:t>La furtiva lacrima di Talia</w:t>
      </w:r>
      <w:r w:rsidRPr="002F4C00">
        <w:t xml:space="preserve">, in </w:t>
      </w:r>
      <w:r w:rsidRPr="002F4C00">
        <w:rPr>
          <w:i/>
        </w:rPr>
        <w:t>L’elisir d’amore</w:t>
      </w:r>
      <w:r w:rsidRPr="002F4C00">
        <w:t>, Bergamo, Fondazione Donizetti, 2009 (Quaderni della Fondazione Donizetti, 18), pp. 17-32</w:t>
      </w:r>
    </w:p>
    <w:p w14:paraId="140608EE" w14:textId="77777777" w:rsidR="00B221BD" w:rsidRPr="002F4C00" w:rsidRDefault="00B221BD" w:rsidP="00B221BD">
      <w:pPr>
        <w:tabs>
          <w:tab w:val="left" w:pos="7513"/>
        </w:tabs>
        <w:autoSpaceDE w:val="0"/>
        <w:autoSpaceDN w:val="0"/>
        <w:adjustRightInd w:val="0"/>
        <w:spacing w:after="0" w:line="240" w:lineRule="auto"/>
        <w:ind w:left="1701" w:hanging="567"/>
        <w:jc w:val="both"/>
      </w:pPr>
      <w:r w:rsidRPr="002F4C00">
        <w:t xml:space="preserve">Emanuele </w:t>
      </w:r>
      <w:proofErr w:type="spellStart"/>
      <w:r w:rsidRPr="002F4C00">
        <w:t>Senici</w:t>
      </w:r>
      <w:proofErr w:type="spellEnd"/>
      <w:r w:rsidRPr="002F4C00">
        <w:t xml:space="preserve">, </w:t>
      </w:r>
      <w:r w:rsidRPr="002F4C00">
        <w:rPr>
          <w:i/>
          <w:iCs/>
        </w:rPr>
        <w:t>Le furtive lacrime di Giambattista Genero, primo Nemorino</w:t>
      </w:r>
      <w:r w:rsidRPr="002F4C00">
        <w:t xml:space="preserve"> e Alessandro di Profio, </w:t>
      </w:r>
      <w:r w:rsidRPr="002F4C00">
        <w:rPr>
          <w:i/>
        </w:rPr>
        <w:t xml:space="preserve">L’opera francese in Italia e l’opera italiana a Parigi: </w:t>
      </w:r>
      <w:r w:rsidRPr="002F4C00">
        <w:rPr>
          <w:i/>
          <w:iCs/>
        </w:rPr>
        <w:t xml:space="preserve">L’elisir d’amore </w:t>
      </w:r>
      <w:r w:rsidRPr="002F4C00">
        <w:rPr>
          <w:i/>
        </w:rPr>
        <w:t>o il crocevia di due tradizioni</w:t>
      </w:r>
      <w:r w:rsidRPr="002F4C00">
        <w:t xml:space="preserve">, entrambi in </w:t>
      </w:r>
      <w:r w:rsidRPr="002F4C00">
        <w:rPr>
          <w:i/>
        </w:rPr>
        <w:t>Elisir d’amore</w:t>
      </w:r>
      <w:r w:rsidRPr="002F4C00">
        <w:t>, Venezia, Teatro la Fenice, 2010 (</w:t>
      </w:r>
      <w:hyperlink r:id="rId5" w:history="1">
        <w:r w:rsidRPr="002F4C00">
          <w:rPr>
            <w:rStyle w:val="Collegamentoipertestuale"/>
            <w:color w:val="auto"/>
          </w:rPr>
          <w:t>https://www.teatrolafenice.it/libretti/?start</w:t>
        </w:r>
        <w:r w:rsidRPr="002F4C00">
          <w:rPr>
            <w:rStyle w:val="Collegamentoipertestuale"/>
            <w:color w:val="auto"/>
          </w:rPr>
          <w:t>s</w:t>
        </w:r>
        <w:r w:rsidRPr="002F4C00">
          <w:rPr>
            <w:rStyle w:val="Collegamentoipertestuale"/>
            <w:color w:val="auto"/>
          </w:rPr>
          <w:t>_with=E</w:t>
        </w:r>
      </w:hyperlink>
      <w:r w:rsidRPr="002F4C00">
        <w:t xml:space="preserve">), pp. 11-35 e il libretto a cura di Giorgio </w:t>
      </w:r>
      <w:proofErr w:type="spellStart"/>
      <w:r w:rsidRPr="002F4C00">
        <w:t>Pagannone</w:t>
      </w:r>
      <w:proofErr w:type="spellEnd"/>
      <w:r w:rsidRPr="002F4C00">
        <w:t xml:space="preserve"> lì contenuto.</w:t>
      </w:r>
    </w:p>
    <w:p w14:paraId="0B4FF777" w14:textId="46914437" w:rsidR="00036DC8" w:rsidRPr="002F4C00" w:rsidRDefault="00B221BD" w:rsidP="00B221BD">
      <w:pPr>
        <w:spacing w:after="0" w:line="240" w:lineRule="auto"/>
        <w:ind w:left="1701" w:hanging="426"/>
      </w:pPr>
      <w:r w:rsidRPr="002F4C00">
        <w:t xml:space="preserve">Luciano Alberti, </w:t>
      </w:r>
      <w:r w:rsidRPr="002F4C00">
        <w:rPr>
          <w:i/>
        </w:rPr>
        <w:t>Donizetti, Romani, Sanquirico insieme per «L’elisir d’amore»</w:t>
      </w:r>
      <w:r w:rsidRPr="002F4C00">
        <w:t xml:space="preserve">, in </w:t>
      </w:r>
      <w:r w:rsidRPr="002F4C00">
        <w:rPr>
          <w:i/>
        </w:rPr>
        <w:t>Voglio amore, e amor violento. Studi di drammaturgia</w:t>
      </w:r>
      <w:r w:rsidRPr="002F4C00">
        <w:t>, a cura di Livio Aragona, Bergamo, Fondazione</w:t>
      </w:r>
    </w:p>
    <w:p w14:paraId="19227262" w14:textId="77777777" w:rsidR="00B221BD" w:rsidRPr="002F4C00" w:rsidRDefault="00B221BD" w:rsidP="00B221BD">
      <w:pPr>
        <w:spacing w:after="0" w:line="240" w:lineRule="auto"/>
        <w:ind w:left="426" w:hanging="426"/>
      </w:pPr>
    </w:p>
    <w:p w14:paraId="73AD712F" w14:textId="025CC94D" w:rsidR="00036DC8" w:rsidRPr="002F4C00" w:rsidRDefault="00036DC8" w:rsidP="00036DC8">
      <w:pPr>
        <w:spacing w:after="0" w:line="240" w:lineRule="auto"/>
        <w:ind w:left="426" w:hanging="426"/>
      </w:pPr>
      <w:r w:rsidRPr="002F4C00">
        <w:t>Un dizionario pratico e aggiornato dei termini operistici è: Le parole del teatro musicale, a cura di Fabrizio Della Seta, Roma, Carocci, 2010 (questo testo NON sarà, ovviamente, oggetto d’esame, ma potrete utilizzarlo per la definizione dei termini tecnici che incontrerete nei testi in programma di studio).</w:t>
      </w:r>
    </w:p>
    <w:p w14:paraId="2B1528EA" w14:textId="2E73D592" w:rsidR="00036DC8" w:rsidRPr="002F4C00" w:rsidRDefault="00036DC8" w:rsidP="00036DC8">
      <w:pPr>
        <w:spacing w:after="0" w:line="240" w:lineRule="auto"/>
        <w:ind w:left="426" w:hanging="426"/>
      </w:pPr>
      <w:r w:rsidRPr="002F4C00">
        <w:t>Gli studenti non frequentanti seguiranno anche il corso on line da sei cfu reperibile con le credenziali di ateneo su Elly.</w:t>
      </w:r>
    </w:p>
    <w:p w14:paraId="3C592ECC" w14:textId="77777777" w:rsidR="00B221BD" w:rsidRPr="002F4C00" w:rsidRDefault="00B221BD" w:rsidP="00036DC8">
      <w:pPr>
        <w:spacing w:after="0" w:line="240" w:lineRule="auto"/>
        <w:ind w:left="426" w:hanging="426"/>
      </w:pPr>
    </w:p>
    <w:p w14:paraId="517A6BAE" w14:textId="35704224" w:rsidR="00B221BD" w:rsidRPr="002F4C00" w:rsidRDefault="00B221BD" w:rsidP="00036DC8">
      <w:pPr>
        <w:spacing w:after="0" w:line="240" w:lineRule="auto"/>
      </w:pPr>
      <w:r w:rsidRPr="002F4C00">
        <w:rPr>
          <w:b/>
          <w:bCs/>
        </w:rPr>
        <w:t xml:space="preserve">Gli studenti che devono sostenere 12 crediti formativi </w:t>
      </w:r>
      <w:r w:rsidRPr="002F4C00">
        <w:t>porteranno inoltre</w:t>
      </w:r>
      <w:r w:rsidR="002F4C00" w:rsidRPr="002F4C00">
        <w:t xml:space="preserve"> </w:t>
      </w:r>
      <w:r w:rsidRPr="002F4C00">
        <w:t xml:space="preserve">l’ascolto integrale e lo studio di </w:t>
      </w:r>
      <w:r w:rsidRPr="002F4C00">
        <w:rPr>
          <w:i/>
          <w:iCs/>
        </w:rPr>
        <w:t xml:space="preserve">Un ballo in maschera </w:t>
      </w:r>
      <w:r w:rsidRPr="002F4C00">
        <w:t>di Somma-Verdi,</w:t>
      </w:r>
      <w:r w:rsidRPr="002F4C00">
        <w:rPr>
          <w:i/>
          <w:iCs/>
        </w:rPr>
        <w:t xml:space="preserve"> Il trovatore</w:t>
      </w:r>
      <w:r w:rsidRPr="002F4C00">
        <w:t xml:space="preserve"> di Cammarano – Verdi, </w:t>
      </w:r>
      <w:r w:rsidRPr="002F4C00">
        <w:rPr>
          <w:i/>
          <w:iCs/>
        </w:rPr>
        <w:t xml:space="preserve">Turandot </w:t>
      </w:r>
      <w:r w:rsidRPr="002F4C00">
        <w:t xml:space="preserve">di Adami e Simoni – Puccini con la bibliografia relativa sottoindicata: </w:t>
      </w:r>
    </w:p>
    <w:p w14:paraId="0136F0AD" w14:textId="77777777" w:rsidR="00B221BD" w:rsidRPr="00B221BD" w:rsidRDefault="00B221BD" w:rsidP="00B221BD">
      <w:pPr>
        <w:numPr>
          <w:ilvl w:val="0"/>
          <w:numId w:val="1"/>
        </w:numPr>
        <w:tabs>
          <w:tab w:val="left" w:pos="142"/>
          <w:tab w:val="left" w:pos="567"/>
          <w:tab w:val="left" w:pos="9072"/>
        </w:tabs>
        <w:spacing w:after="0" w:line="240" w:lineRule="auto"/>
        <w:ind w:left="426" w:hanging="437"/>
        <w:jc w:val="both"/>
        <w:rPr>
          <w:rFonts w:eastAsia="Times New Roman"/>
          <w:b/>
          <w:bCs/>
          <w:lang w:eastAsia="it-IT"/>
        </w:rPr>
      </w:pPr>
      <w:r w:rsidRPr="00B221BD">
        <w:rPr>
          <w:rFonts w:eastAsia="Times New Roman"/>
          <w:b/>
          <w:bCs/>
          <w:lang w:eastAsia="it-IT"/>
        </w:rPr>
        <w:t>Antonio Somma, Giuseppe Verdi,</w:t>
      </w:r>
      <w:r w:rsidRPr="00B221BD">
        <w:rPr>
          <w:rFonts w:eastAsia="Times New Roman"/>
          <w:b/>
          <w:bCs/>
          <w:i/>
          <w:iCs/>
          <w:lang w:eastAsia="it-IT"/>
        </w:rPr>
        <w:t xml:space="preserve"> Un ballo in maschera</w:t>
      </w:r>
    </w:p>
    <w:p w14:paraId="33BBDDBD" w14:textId="77777777" w:rsidR="00B221BD" w:rsidRPr="00B221BD" w:rsidRDefault="00B221BD" w:rsidP="00B221BD">
      <w:pPr>
        <w:spacing w:after="0" w:line="240" w:lineRule="auto"/>
        <w:ind w:left="1843" w:hanging="709"/>
        <w:jc w:val="both"/>
      </w:pPr>
      <w:r w:rsidRPr="00B221BD">
        <w:rPr>
          <w:lang w:val="fr-BE"/>
        </w:rPr>
        <w:t xml:space="preserve">Gilles de Van, </w:t>
      </w:r>
      <w:r w:rsidRPr="00B221BD">
        <w:rPr>
          <w:i/>
          <w:lang w:val="fr-BE"/>
        </w:rPr>
        <w:t xml:space="preserve">“Un bal masqué” d’Auber à </w:t>
      </w:r>
      <w:proofErr w:type="gramStart"/>
      <w:r w:rsidRPr="00B221BD">
        <w:rPr>
          <w:i/>
          <w:lang w:val="fr-BE"/>
        </w:rPr>
        <w:t>Verdi:</w:t>
      </w:r>
      <w:proofErr w:type="gramEnd"/>
      <w:r w:rsidRPr="00B221BD">
        <w:rPr>
          <w:i/>
          <w:lang w:val="fr-BE"/>
        </w:rPr>
        <w:t xml:space="preserve"> une perspective inversés</w:t>
      </w:r>
      <w:r w:rsidRPr="00B221BD">
        <w:rPr>
          <w:lang w:val="fr-BE"/>
        </w:rPr>
        <w:t>, in</w:t>
      </w:r>
      <w:r w:rsidRPr="00B221BD">
        <w:rPr>
          <w:i/>
          <w:lang w:val="fr-BE"/>
        </w:rPr>
        <w:t xml:space="preserve"> L’opéra en France et en Italie (1791-1925). Une scène </w:t>
      </w:r>
      <w:proofErr w:type="spellStart"/>
      <w:r w:rsidRPr="00B221BD">
        <w:rPr>
          <w:i/>
          <w:lang w:val="fr-BE"/>
        </w:rPr>
        <w:t>privilégée</w:t>
      </w:r>
      <w:proofErr w:type="spellEnd"/>
      <w:r w:rsidRPr="00B221BD">
        <w:rPr>
          <w:i/>
          <w:lang w:val="fr-BE"/>
        </w:rPr>
        <w:t xml:space="preserve"> d’échanges littéraire et musicaux. Actes du colloque franco-italien tenu à l’Académie musicale de Villecroze (16-18 octobre 1997)</w:t>
      </w:r>
      <w:r w:rsidRPr="00B221BD">
        <w:rPr>
          <w:lang w:val="fr-BE"/>
        </w:rPr>
        <w:t xml:space="preserve">, a cura di Hervé Lacombe, Paris, Société Française de Musicologie, 2000, pp. 223-234, tr. </w:t>
      </w:r>
      <w:proofErr w:type="spellStart"/>
      <w:r w:rsidRPr="00B221BD">
        <w:rPr>
          <w:lang w:val="fr-BE"/>
        </w:rPr>
        <w:t>it</w:t>
      </w:r>
      <w:proofErr w:type="spellEnd"/>
      <w:r w:rsidRPr="00B221BD">
        <w:rPr>
          <w:lang w:val="fr-BE"/>
        </w:rPr>
        <w:t xml:space="preserve">. </w:t>
      </w:r>
      <w:r w:rsidRPr="00B221BD">
        <w:rPr>
          <w:i/>
        </w:rPr>
        <w:t xml:space="preserve">Dal “Ballo in maschera” di Auber a quello di </w:t>
      </w:r>
      <w:proofErr w:type="gramStart"/>
      <w:r w:rsidRPr="00B221BD">
        <w:rPr>
          <w:i/>
        </w:rPr>
        <w:t>Verdi:</w:t>
      </w:r>
      <w:proofErr w:type="gramEnd"/>
      <w:r w:rsidRPr="00B221BD">
        <w:rPr>
          <w:i/>
        </w:rPr>
        <w:t xml:space="preserve"> una prospettiva invertita</w:t>
      </w:r>
      <w:r w:rsidRPr="00B221BD">
        <w:t>, in</w:t>
      </w:r>
      <w:r w:rsidRPr="00B221BD">
        <w:rPr>
          <w:i/>
        </w:rPr>
        <w:t xml:space="preserve"> Un Ballo in maschera</w:t>
      </w:r>
      <w:r w:rsidRPr="00B221BD">
        <w:t xml:space="preserve">, Parma, Teatro Regio, 2011, pp. 67-75 («I quaderni del </w:t>
      </w:r>
      <w:proofErr w:type="spellStart"/>
      <w:r w:rsidRPr="00B221BD">
        <w:t>FestivalVerdi</w:t>
      </w:r>
      <w:proofErr w:type="spellEnd"/>
      <w:r w:rsidRPr="00B221BD">
        <w:t>», 5)</w:t>
      </w:r>
    </w:p>
    <w:p w14:paraId="49365AAD" w14:textId="77777777" w:rsidR="00B221BD" w:rsidRPr="00B221BD" w:rsidRDefault="00B221BD" w:rsidP="00B221BD">
      <w:pPr>
        <w:spacing w:after="0" w:line="240" w:lineRule="auto"/>
        <w:ind w:left="1843" w:hanging="709"/>
        <w:jc w:val="both"/>
      </w:pPr>
      <w:r w:rsidRPr="00B221BD">
        <w:t xml:space="preserve">I saggi di Guido Paduano e Paolo Cecchi, in </w:t>
      </w:r>
      <w:r w:rsidRPr="00B221BD">
        <w:rPr>
          <w:i/>
          <w:iCs/>
        </w:rPr>
        <w:t>Un ballo in maschera</w:t>
      </w:r>
      <w:r w:rsidRPr="00B221BD">
        <w:t>, Venezia, La Fenice, 1999, pp. 56-75 (</w:t>
      </w:r>
      <w:hyperlink r:id="rId6" w:history="1">
        <w:r w:rsidRPr="00B221BD">
          <w:rPr>
            <w:u w:val="single"/>
          </w:rPr>
          <w:t>https://www.teatrolafenice.it/libretti/page/2/?starts_with=B</w:t>
        </w:r>
      </w:hyperlink>
      <w:r w:rsidRPr="00B221BD">
        <w:t>)</w:t>
      </w:r>
    </w:p>
    <w:p w14:paraId="45417AF9" w14:textId="77777777" w:rsidR="00B221BD" w:rsidRPr="00B221BD" w:rsidRDefault="00B221BD" w:rsidP="00B221BD">
      <w:pPr>
        <w:spacing w:after="0" w:line="240" w:lineRule="auto"/>
        <w:ind w:left="1843" w:hanging="709"/>
        <w:jc w:val="both"/>
      </w:pPr>
      <w:r w:rsidRPr="00B221BD">
        <w:t xml:space="preserve">Paolo Russo, </w:t>
      </w:r>
      <w:r w:rsidRPr="00B221BD">
        <w:rPr>
          <w:i/>
          <w:iCs/>
        </w:rPr>
        <w:t xml:space="preserve">Il bel canto di Oscar: trasformazioni grottesche del paggio </w:t>
      </w:r>
      <w:r w:rsidRPr="00B221BD">
        <w:t>operistico, “</w:t>
      </w:r>
      <w:proofErr w:type="spellStart"/>
      <w:r w:rsidRPr="00B221BD">
        <w:t>Itiniera</w:t>
      </w:r>
      <w:proofErr w:type="spellEnd"/>
      <w:r w:rsidRPr="00B221BD">
        <w:t>”, VIII, 2014, pp. 1-14 (</w:t>
      </w:r>
      <w:hyperlink r:id="rId7" w:history="1">
        <w:r w:rsidRPr="00B221BD">
          <w:rPr>
            <w:u w:val="single"/>
          </w:rPr>
          <w:t>https://riviste.unimi.it/index.php/itinera/article/view/4597/4718</w:t>
        </w:r>
      </w:hyperlink>
      <w:r w:rsidRPr="00B221BD">
        <w:t>)</w:t>
      </w:r>
    </w:p>
    <w:p w14:paraId="7C1775A0" w14:textId="3EDFB615" w:rsidR="00B221BD" w:rsidRPr="00B221BD" w:rsidRDefault="002F4C00" w:rsidP="00B221BD">
      <w:pPr>
        <w:spacing w:after="0" w:line="240" w:lineRule="auto"/>
        <w:ind w:left="1843" w:hanging="709"/>
        <w:jc w:val="both"/>
        <w:textAlignment w:val="baseline"/>
        <w:rPr>
          <w:b/>
          <w:bCs/>
        </w:rPr>
      </w:pPr>
      <w:r>
        <w:rPr>
          <w:b/>
          <w:bCs/>
        </w:rPr>
        <w:t>Uno a</w:t>
      </w:r>
      <w:r w:rsidR="00B221BD" w:rsidRPr="00B221BD">
        <w:rPr>
          <w:b/>
          <w:bCs/>
        </w:rPr>
        <w:t xml:space="preserve"> scelta tra:</w:t>
      </w:r>
    </w:p>
    <w:p w14:paraId="2B086CCB" w14:textId="0050377E" w:rsidR="00B221BD" w:rsidRPr="00B221BD" w:rsidRDefault="00B221BD" w:rsidP="002F4C00">
      <w:pPr>
        <w:pStyle w:val="Paragrafoelenco"/>
        <w:numPr>
          <w:ilvl w:val="0"/>
          <w:numId w:val="2"/>
        </w:numPr>
        <w:spacing w:after="0" w:line="240" w:lineRule="auto"/>
        <w:jc w:val="both"/>
        <w:textAlignment w:val="baseline"/>
      </w:pPr>
      <w:hyperlink r:id="rId8" w:tooltip="'Salamandre ignivore...orme di passi...': Sul libretto di Un ballo in maschera" w:history="1">
        <w:r w:rsidRPr="00B221BD">
          <w:t xml:space="preserve">Michele Curnis, </w:t>
        </w:r>
        <w:r w:rsidRPr="002F4C00">
          <w:rPr>
            <w:i/>
            <w:iCs/>
          </w:rPr>
          <w:t>'Salamandre ignivore...orme di passi...': Sul libretto di “Un ballo in maschera</w:t>
        </w:r>
      </w:hyperlink>
      <w:r w:rsidRPr="00B221BD">
        <w:t>”, in “Studi verdiani”, 17, 2003, pp. 166-192</w:t>
      </w:r>
    </w:p>
    <w:p w14:paraId="78DD06E8" w14:textId="4469147E" w:rsidR="00B221BD" w:rsidRPr="002F4C00" w:rsidRDefault="00B221BD" w:rsidP="002F4C00">
      <w:pPr>
        <w:pStyle w:val="Paragrafoelenco"/>
        <w:numPr>
          <w:ilvl w:val="0"/>
          <w:numId w:val="2"/>
        </w:numPr>
        <w:spacing w:after="0" w:line="240" w:lineRule="auto"/>
        <w:jc w:val="both"/>
        <w:textAlignment w:val="baseline"/>
      </w:pPr>
      <w:r w:rsidRPr="00B221BD">
        <w:t xml:space="preserve">Fabio Failla, </w:t>
      </w:r>
      <w:hyperlink r:id="rId9" w:tooltip="Giuseppe Cencetti, Verdi e la disposizione scenica di Un ballo in maschera" w:history="1">
        <w:r w:rsidRPr="002F4C00">
          <w:rPr>
            <w:i/>
            <w:iCs/>
          </w:rPr>
          <w:t>Giuseppe Cencetti, Verdi e la disposizione scenica di “Un ballo in maschera</w:t>
        </w:r>
      </w:hyperlink>
      <w:r w:rsidRPr="002F4C00">
        <w:rPr>
          <w:i/>
          <w:iCs/>
        </w:rPr>
        <w:t>”</w:t>
      </w:r>
      <w:r w:rsidRPr="00B221BD">
        <w:t>, in “Studi verdiani”, 20, 2006, pp. 15-45</w:t>
      </w:r>
    </w:p>
    <w:p w14:paraId="5888E072" w14:textId="77777777" w:rsidR="00B221BD" w:rsidRPr="002F4C00" w:rsidRDefault="00B221BD" w:rsidP="00B221BD">
      <w:pPr>
        <w:spacing w:after="0" w:line="240" w:lineRule="auto"/>
        <w:ind w:left="1843" w:hanging="709"/>
        <w:jc w:val="both"/>
        <w:textAlignment w:val="baseline"/>
      </w:pPr>
    </w:p>
    <w:p w14:paraId="1781BFB4" w14:textId="3E528B85" w:rsidR="00B221BD" w:rsidRPr="002F4C00" w:rsidRDefault="00B221BD" w:rsidP="00B221BD">
      <w:pPr>
        <w:pStyle w:val="Paragrafoelenco"/>
        <w:numPr>
          <w:ilvl w:val="0"/>
          <w:numId w:val="1"/>
        </w:numPr>
        <w:spacing w:after="0" w:line="240" w:lineRule="auto"/>
        <w:jc w:val="both"/>
        <w:textAlignment w:val="baseline"/>
        <w:rPr>
          <w:b/>
          <w:bCs/>
          <w:i/>
          <w:iCs/>
        </w:rPr>
      </w:pPr>
      <w:r w:rsidRPr="002F4C00">
        <w:rPr>
          <w:b/>
          <w:bCs/>
        </w:rPr>
        <w:t xml:space="preserve">Salvadore Cammarano – Giuseppe Verdi, </w:t>
      </w:r>
      <w:r w:rsidRPr="002F4C00">
        <w:rPr>
          <w:b/>
          <w:bCs/>
          <w:i/>
          <w:iCs/>
        </w:rPr>
        <w:t>Il trovatore</w:t>
      </w:r>
    </w:p>
    <w:p w14:paraId="672DE5CE" w14:textId="71357C64" w:rsidR="00B221BD" w:rsidRPr="002F4C00" w:rsidRDefault="00B221BD" w:rsidP="00B221BD">
      <w:pPr>
        <w:pStyle w:val="Paragrafoelenco"/>
        <w:spacing w:after="0" w:line="240" w:lineRule="auto"/>
        <w:ind w:left="1843" w:hanging="567"/>
        <w:jc w:val="both"/>
        <w:textAlignment w:val="baseline"/>
      </w:pPr>
      <w:r w:rsidRPr="002F4C00">
        <w:t xml:space="preserve">Libretto a cura di Emanuele Bonomi e saggio di Michele Girardi, </w:t>
      </w:r>
      <w:r w:rsidRPr="002F4C00">
        <w:rPr>
          <w:i/>
          <w:iCs/>
        </w:rPr>
        <w:t>Tempo e racconto nel “Trovatore”,</w:t>
      </w:r>
      <w:r w:rsidRPr="002F4C00">
        <w:t xml:space="preserve"> in Il Trovatore, Venezia, Teatro La Fenice, 2011.</w:t>
      </w:r>
    </w:p>
    <w:p w14:paraId="7E2A2791" w14:textId="5EEE3A0B" w:rsidR="00B221BD" w:rsidRPr="002F4C00" w:rsidRDefault="00B221BD" w:rsidP="00B221BD">
      <w:pPr>
        <w:pStyle w:val="Paragrafoelenco"/>
        <w:spacing w:after="0" w:line="240" w:lineRule="auto"/>
        <w:ind w:left="1843" w:hanging="567"/>
        <w:jc w:val="both"/>
        <w:textAlignment w:val="baseline"/>
      </w:pPr>
      <w:r w:rsidRPr="002F4C00">
        <w:t xml:space="preserve">Lorenzo Bianconi, </w:t>
      </w:r>
      <w:r w:rsidR="002F4C00" w:rsidRPr="002F4C00">
        <w:rPr>
          <w:i/>
          <w:iCs/>
        </w:rPr>
        <w:t>“Il trovatore” di Verdi e Cammarano da Garcia Gutierrez</w:t>
      </w:r>
      <w:r w:rsidR="002F4C00" w:rsidRPr="002F4C00">
        <w:t xml:space="preserve">, </w:t>
      </w:r>
      <w:r w:rsidRPr="002F4C00">
        <w:t xml:space="preserve">in </w:t>
      </w:r>
      <w:r w:rsidRPr="002F4C00">
        <w:rPr>
          <w:i/>
          <w:iCs/>
        </w:rPr>
        <w:t>Verdi e le letterature europee</w:t>
      </w:r>
      <w:r w:rsidRPr="002F4C00">
        <w:t xml:space="preserve">, a cura </w:t>
      </w:r>
      <w:r w:rsidR="002F4C00" w:rsidRPr="002F4C00">
        <w:t>d</w:t>
      </w:r>
      <w:r w:rsidRPr="002F4C00">
        <w:t xml:space="preserve">i Giorgio Pestelli, </w:t>
      </w:r>
      <w:r w:rsidR="002F4C00" w:rsidRPr="002F4C00">
        <w:t>Torino, Accademia delle scienze, 2016, pp. 109-152</w:t>
      </w:r>
    </w:p>
    <w:p w14:paraId="463FA662" w14:textId="506C9D4B" w:rsidR="002F4C00" w:rsidRPr="002F4C00" w:rsidRDefault="002F4C00" w:rsidP="002F4C00">
      <w:pPr>
        <w:ind w:left="1843" w:hanging="567"/>
      </w:pPr>
      <w:r w:rsidRPr="002F4C00">
        <w:t xml:space="preserve">Fabrizio della Seta, </w:t>
      </w:r>
      <w:r w:rsidRPr="002F4C00">
        <w:rPr>
          <w:i/>
          <w:iCs/>
        </w:rPr>
        <w:t xml:space="preserve">“Ma infine nella vita tutto è morte!” Cosa ci racconta “Il trovatore”, </w:t>
      </w:r>
      <w:r w:rsidRPr="002F4C00">
        <w:t xml:space="preserve">in </w:t>
      </w:r>
      <w:r w:rsidRPr="002F4C00">
        <w:rPr>
          <w:rFonts w:eastAsia="Times New Roman"/>
          <w:i/>
          <w:iCs/>
          <w:lang w:eastAsia="it-IT"/>
        </w:rPr>
        <w:t>Un duplice anniversario: Giuseppe Verdi e Richard Wagner</w:t>
      </w:r>
      <w:r w:rsidRPr="002F4C00">
        <w:rPr>
          <w:rFonts w:eastAsia="Times New Roman"/>
          <w:lang w:eastAsia="it-IT"/>
        </w:rPr>
        <w:t>, a</w:t>
      </w:r>
      <w:r w:rsidRPr="002F4C00">
        <w:rPr>
          <w:rFonts w:eastAsia="Times New Roman"/>
          <w:lang w:eastAsia="it-IT"/>
        </w:rPr>
        <w:t xml:space="preserve"> cura di: Ilaria Bonomi, Franca Cella e Luciano Martini</w:t>
      </w:r>
      <w:r w:rsidRPr="002F4C00">
        <w:rPr>
          <w:rFonts w:eastAsia="Times New Roman"/>
          <w:lang w:eastAsia="it-IT"/>
        </w:rPr>
        <w:t xml:space="preserve">, Milano, </w:t>
      </w:r>
      <w:r w:rsidRPr="002F4C00">
        <w:t>Istituto Lombardo - Accademia di Scienze e Lettere</w:t>
      </w:r>
      <w:r w:rsidRPr="002F4C00">
        <w:t xml:space="preserve">, 2014, pp. 57-89 </w:t>
      </w:r>
      <w:r w:rsidRPr="002F4C00">
        <w:t>http://www.ilasl.org/index.php/Incontri/issue/view/17</w:t>
      </w:r>
    </w:p>
    <w:p w14:paraId="525EE6CB" w14:textId="77777777" w:rsidR="00B221BD" w:rsidRPr="00B221BD" w:rsidRDefault="00B221BD" w:rsidP="00B221BD">
      <w:pPr>
        <w:numPr>
          <w:ilvl w:val="0"/>
          <w:numId w:val="1"/>
        </w:numPr>
        <w:tabs>
          <w:tab w:val="left" w:pos="142"/>
          <w:tab w:val="left" w:pos="567"/>
          <w:tab w:val="left" w:pos="8789"/>
        </w:tabs>
        <w:spacing w:after="0" w:line="240" w:lineRule="auto"/>
        <w:ind w:left="426" w:hanging="437"/>
        <w:jc w:val="both"/>
        <w:rPr>
          <w:rFonts w:eastAsia="Times New Roman"/>
          <w:lang w:eastAsia="it-IT"/>
        </w:rPr>
      </w:pPr>
      <w:r w:rsidRPr="00B221BD">
        <w:rPr>
          <w:rFonts w:eastAsia="Calibri"/>
          <w:b/>
          <w:bCs/>
        </w:rPr>
        <w:lastRenderedPageBreak/>
        <w:t xml:space="preserve">Giuseppe Adami e Renato Simoni, Giacomo Puccini, </w:t>
      </w:r>
      <w:r w:rsidRPr="00B221BD">
        <w:rPr>
          <w:rFonts w:eastAsia="Calibri"/>
          <w:b/>
          <w:bCs/>
          <w:i/>
          <w:iCs/>
        </w:rPr>
        <w:t>Turandot</w:t>
      </w:r>
      <w:r w:rsidRPr="00B221BD">
        <w:rPr>
          <w:rFonts w:eastAsia="Times New Roman"/>
          <w:lang w:eastAsia="it-IT"/>
        </w:rPr>
        <w:t xml:space="preserve"> </w:t>
      </w:r>
    </w:p>
    <w:p w14:paraId="1DC8E4F9" w14:textId="77777777" w:rsidR="00B221BD" w:rsidRPr="00B221BD" w:rsidRDefault="00B221BD" w:rsidP="00B221BD">
      <w:pPr>
        <w:tabs>
          <w:tab w:val="left" w:pos="142"/>
          <w:tab w:val="left" w:pos="567"/>
          <w:tab w:val="left" w:pos="9072"/>
        </w:tabs>
        <w:spacing w:after="0" w:line="240" w:lineRule="auto"/>
        <w:ind w:left="1985" w:hanging="709"/>
        <w:rPr>
          <w:rFonts w:eastAsia="Times New Roman"/>
          <w:lang w:eastAsia="it-IT"/>
        </w:rPr>
      </w:pPr>
      <w:proofErr w:type="spellStart"/>
      <w:r w:rsidRPr="00B221BD">
        <w:rPr>
          <w:rFonts w:eastAsia="Times New Roman"/>
          <w:lang w:eastAsia="it-IT"/>
        </w:rPr>
        <w:t>Anselm</w:t>
      </w:r>
      <w:proofErr w:type="spellEnd"/>
      <w:r w:rsidRPr="00B221BD">
        <w:rPr>
          <w:rFonts w:eastAsia="Times New Roman"/>
          <w:lang w:eastAsia="it-IT"/>
        </w:rPr>
        <w:t xml:space="preserve"> Gerhard, </w:t>
      </w:r>
      <w:r w:rsidRPr="00B221BD">
        <w:rPr>
          <w:rFonts w:eastAsia="Times New Roman"/>
          <w:i/>
          <w:iCs/>
          <w:lang w:eastAsia="it-IT"/>
        </w:rPr>
        <w:t>Una fiaba cinese per il «cervello moderno». Versi tronchi e profumi misteriosi in un’opera novecentesca</w:t>
      </w:r>
      <w:r w:rsidRPr="00B221BD">
        <w:rPr>
          <w:rFonts w:eastAsia="Times New Roman"/>
          <w:lang w:eastAsia="it-IT"/>
        </w:rPr>
        <w:t xml:space="preserve">; Emanuele d’Angelo, </w:t>
      </w:r>
      <w:r w:rsidRPr="00B221BD">
        <w:rPr>
          <w:rFonts w:eastAsia="Times New Roman"/>
          <w:i/>
          <w:iCs/>
          <w:lang w:eastAsia="it-IT"/>
        </w:rPr>
        <w:t>Il libretto di Turandot. La sostanza della forma. Libretto e guida all’opera</w:t>
      </w:r>
      <w:r w:rsidRPr="00B221BD">
        <w:rPr>
          <w:rFonts w:eastAsia="Times New Roman"/>
          <w:lang w:eastAsia="it-IT"/>
        </w:rPr>
        <w:t xml:space="preserve"> di Michele Girardi, tutti in </w:t>
      </w:r>
      <w:r w:rsidRPr="00B221BD">
        <w:rPr>
          <w:rFonts w:eastAsia="Times New Roman"/>
          <w:i/>
          <w:iCs/>
          <w:lang w:eastAsia="it-IT"/>
        </w:rPr>
        <w:t>Turandot</w:t>
      </w:r>
      <w:r w:rsidRPr="00B221BD">
        <w:rPr>
          <w:rFonts w:eastAsia="Times New Roman"/>
          <w:lang w:eastAsia="it-IT"/>
        </w:rPr>
        <w:t>, a cura di Michele Girardi, Venezia, Teatro La Fenice, 2007, rispettivamente alle 15-27; 29-46; 49-97 (</w:t>
      </w:r>
      <w:hyperlink r:id="rId10" w:history="1">
        <w:r w:rsidRPr="00B221BD">
          <w:rPr>
            <w:rFonts w:eastAsia="Times New Roman"/>
            <w:u w:val="single"/>
            <w:lang w:eastAsia="it-IT"/>
          </w:rPr>
          <w:t>https://www.teatrolafenice.it/wp-content/uploads/2019/03/TURANDOT.pdf</w:t>
        </w:r>
      </w:hyperlink>
      <w:r w:rsidRPr="00B221BD">
        <w:rPr>
          <w:rFonts w:eastAsia="Times New Roman"/>
          <w:lang w:eastAsia="it-IT"/>
        </w:rPr>
        <w:t>)</w:t>
      </w:r>
    </w:p>
    <w:p w14:paraId="3F04D529" w14:textId="77777777" w:rsidR="00B221BD" w:rsidRPr="00B221BD" w:rsidRDefault="00B221BD" w:rsidP="00B221BD">
      <w:pPr>
        <w:tabs>
          <w:tab w:val="left" w:pos="142"/>
          <w:tab w:val="left" w:pos="9072"/>
        </w:tabs>
        <w:spacing w:after="0" w:line="240" w:lineRule="auto"/>
        <w:ind w:left="1985" w:hanging="709"/>
        <w:rPr>
          <w:rFonts w:eastAsia="Times New Roman"/>
          <w:lang w:eastAsia="it-IT"/>
        </w:rPr>
      </w:pPr>
      <w:r w:rsidRPr="00B221BD">
        <w:rPr>
          <w:rFonts w:eastAsia="Times New Roman"/>
          <w:lang w:eastAsia="it-IT"/>
        </w:rPr>
        <w:t xml:space="preserve">Bianchi, Nicola, </w:t>
      </w:r>
      <w:r w:rsidRPr="00B221BD">
        <w:rPr>
          <w:rFonts w:eastAsia="Times New Roman"/>
          <w:i/>
          <w:iCs/>
          <w:lang w:eastAsia="it-IT"/>
        </w:rPr>
        <w:t>Turandot: Un'opera europea—Dualismi e complessità della favola di Puccini. I: Gestazione e considerazioni preliminari</w:t>
      </w:r>
      <w:r w:rsidRPr="00B221BD">
        <w:rPr>
          <w:rFonts w:eastAsia="Times New Roman"/>
          <w:lang w:eastAsia="it-IT"/>
        </w:rPr>
        <w:t>, “Musica/realtà”, 123, novembre, 2020, pp. 101-120; Musica/realtà”, 124, 2021, pp. 45-72</w:t>
      </w:r>
    </w:p>
    <w:p w14:paraId="37726248" w14:textId="77777777" w:rsidR="00B221BD" w:rsidRPr="00B221BD" w:rsidRDefault="00B221BD" w:rsidP="00B221BD">
      <w:pPr>
        <w:spacing w:after="0" w:line="240" w:lineRule="auto"/>
        <w:ind w:left="1701" w:hanging="567"/>
        <w:jc w:val="both"/>
      </w:pPr>
    </w:p>
    <w:p w14:paraId="431BDDE8" w14:textId="77777777" w:rsidR="00B221BD" w:rsidRPr="002F4C00" w:rsidRDefault="00B221BD" w:rsidP="00036DC8">
      <w:pPr>
        <w:spacing w:after="0" w:line="240" w:lineRule="auto"/>
      </w:pPr>
    </w:p>
    <w:sectPr w:rsidR="00B221BD" w:rsidRPr="002F4C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C35D2"/>
    <w:multiLevelType w:val="hybridMultilevel"/>
    <w:tmpl w:val="35F45CF0"/>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D4E21FF"/>
    <w:multiLevelType w:val="hybridMultilevel"/>
    <w:tmpl w:val="1DBC358E"/>
    <w:lvl w:ilvl="0" w:tplc="EEDC1006">
      <w:start w:val="1"/>
      <w:numFmt w:val="lowerLetter"/>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num w:numId="1" w16cid:durableId="814689342">
    <w:abstractNumId w:val="0"/>
  </w:num>
  <w:num w:numId="2" w16cid:durableId="188301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C8"/>
    <w:rsid w:val="00036DC8"/>
    <w:rsid w:val="002F4C00"/>
    <w:rsid w:val="007341B8"/>
    <w:rsid w:val="00A74138"/>
    <w:rsid w:val="00B221BD"/>
    <w:rsid w:val="00C07B22"/>
    <w:rsid w:val="00D77E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14623"/>
  <w15:chartTrackingRefBased/>
  <w15:docId w15:val="{7FA629A5-059E-4642-87CF-3522FDAC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221BD"/>
    <w:rPr>
      <w:color w:val="0563C1" w:themeColor="hyperlink"/>
      <w:u w:val="single"/>
    </w:rPr>
  </w:style>
  <w:style w:type="character" w:styleId="Collegamentovisitato">
    <w:name w:val="FollowedHyperlink"/>
    <w:basedOn w:val="Carpredefinitoparagrafo"/>
    <w:uiPriority w:val="99"/>
    <w:semiHidden/>
    <w:unhideWhenUsed/>
    <w:rsid w:val="00B221BD"/>
    <w:rPr>
      <w:color w:val="954F72" w:themeColor="followedHyperlink"/>
      <w:u w:val="single"/>
    </w:rPr>
  </w:style>
  <w:style w:type="paragraph" w:styleId="Paragrafoelenco">
    <w:name w:val="List Paragraph"/>
    <w:basedOn w:val="Normale"/>
    <w:uiPriority w:val="34"/>
    <w:qFormat/>
    <w:rsid w:val="00B221BD"/>
    <w:pPr>
      <w:ind w:left="720"/>
      <w:contextualSpacing/>
    </w:pPr>
  </w:style>
  <w:style w:type="paragraph" w:styleId="NormaleWeb">
    <w:name w:val="Normal (Web)"/>
    <w:basedOn w:val="Normale"/>
    <w:uiPriority w:val="99"/>
    <w:semiHidden/>
    <w:unhideWhenUsed/>
    <w:rsid w:val="002F4C00"/>
    <w:pPr>
      <w:spacing w:before="100" w:beforeAutospacing="1" w:after="100" w:afterAutospacing="1" w:line="240" w:lineRule="auto"/>
    </w:pPr>
    <w:rPr>
      <w:rFonts w:eastAsia="Times New Roman"/>
      <w:sz w:val="24"/>
      <w:szCs w:val="24"/>
      <w:lang w:eastAsia="it-IT"/>
    </w:rPr>
  </w:style>
  <w:style w:type="character" w:styleId="Enfasigrassetto">
    <w:name w:val="Strong"/>
    <w:basedOn w:val="Carpredefinitoparagrafo"/>
    <w:uiPriority w:val="22"/>
    <w:qFormat/>
    <w:rsid w:val="002F4C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41128">
      <w:bodyDiv w:val="1"/>
      <w:marLeft w:val="0"/>
      <w:marRight w:val="0"/>
      <w:marTop w:val="0"/>
      <w:marBottom w:val="0"/>
      <w:divBdr>
        <w:top w:val="none" w:sz="0" w:space="0" w:color="auto"/>
        <w:left w:val="none" w:sz="0" w:space="0" w:color="auto"/>
        <w:bottom w:val="none" w:sz="0" w:space="0" w:color="auto"/>
        <w:right w:val="none" w:sz="0" w:space="0" w:color="auto"/>
      </w:divBdr>
      <w:divsChild>
        <w:div w:id="793325197">
          <w:marLeft w:val="0"/>
          <w:marRight w:val="0"/>
          <w:marTop w:val="0"/>
          <w:marBottom w:val="0"/>
          <w:divBdr>
            <w:top w:val="none" w:sz="0" w:space="0" w:color="auto"/>
            <w:left w:val="none" w:sz="0" w:space="0" w:color="auto"/>
            <w:bottom w:val="none" w:sz="0" w:space="0" w:color="auto"/>
            <w:right w:val="none" w:sz="0" w:space="0" w:color="auto"/>
          </w:divBdr>
          <w:divsChild>
            <w:div w:id="69740021">
              <w:marLeft w:val="0"/>
              <w:marRight w:val="0"/>
              <w:marTop w:val="0"/>
              <w:marBottom w:val="0"/>
              <w:divBdr>
                <w:top w:val="none" w:sz="0" w:space="0" w:color="auto"/>
                <w:left w:val="none" w:sz="0" w:space="0" w:color="auto"/>
                <w:bottom w:val="none" w:sz="0" w:space="0" w:color="auto"/>
                <w:right w:val="none" w:sz="0" w:space="0" w:color="auto"/>
              </w:divBdr>
            </w:div>
          </w:divsChild>
        </w:div>
        <w:div w:id="1368332604">
          <w:marLeft w:val="0"/>
          <w:marRight w:val="0"/>
          <w:marTop w:val="0"/>
          <w:marBottom w:val="0"/>
          <w:divBdr>
            <w:top w:val="none" w:sz="0" w:space="0" w:color="auto"/>
            <w:left w:val="none" w:sz="0" w:space="0" w:color="auto"/>
            <w:bottom w:val="none" w:sz="0" w:space="0" w:color="auto"/>
            <w:right w:val="none" w:sz="0" w:space="0" w:color="auto"/>
          </w:divBdr>
          <w:divsChild>
            <w:div w:id="1803499336">
              <w:marLeft w:val="0"/>
              <w:marRight w:val="0"/>
              <w:marTop w:val="0"/>
              <w:marBottom w:val="0"/>
              <w:divBdr>
                <w:top w:val="none" w:sz="0" w:space="0" w:color="auto"/>
                <w:left w:val="none" w:sz="0" w:space="0" w:color="auto"/>
                <w:bottom w:val="none" w:sz="0" w:space="0" w:color="auto"/>
                <w:right w:val="none" w:sz="0" w:space="0" w:color="auto"/>
              </w:divBdr>
              <w:divsChild>
                <w:div w:id="153500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27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b.ebscohost.com/ehost/viewarticle/render?data=dGJyMPPp44rp2%2fdV0%2bnjisfk5Ie46bFLtqewTbGk63nn5KxdxsXRbL6vrUqwpbBIr66eTbirsFKwrJ5Zy5zyit%2fk8Xnh6ueH7N%2fiVa%2bot0qxrLFLsaykhN%2fk5VXn6qR84LPwgeac8nnls79mpNfsVb%2bstVCvqrY%2b5OXwhd%2fqu37z4uqM4%2b7y&amp;vid=9&amp;sid=cdaff68f-4e71-4e8e-be4f-45afbaa3df9c@sessionmgr120" TargetMode="External"/><Relationship Id="rId3" Type="http://schemas.openxmlformats.org/officeDocument/2006/relationships/settings" Target="settings.xml"/><Relationship Id="rId7" Type="http://schemas.openxmlformats.org/officeDocument/2006/relationships/hyperlink" Target="https://riviste.unimi.it/index.php/itinera/article/view/4597/47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atrolafenice.it/libretti/page/2/?starts_with=B" TargetMode="External"/><Relationship Id="rId11" Type="http://schemas.openxmlformats.org/officeDocument/2006/relationships/fontTable" Target="fontTable.xml"/><Relationship Id="rId5" Type="http://schemas.openxmlformats.org/officeDocument/2006/relationships/hyperlink" Target="https://www.teatrolafenice.it/libretti/?starts_with=E" TargetMode="External"/><Relationship Id="rId10" Type="http://schemas.openxmlformats.org/officeDocument/2006/relationships/hyperlink" Target="https://www.teatrolafenice.it/wp-content/uploads/2019/03/TURANDOT.pdf" TargetMode="External"/><Relationship Id="rId4" Type="http://schemas.openxmlformats.org/officeDocument/2006/relationships/webSettings" Target="webSettings.xml"/><Relationship Id="rId9" Type="http://schemas.openxmlformats.org/officeDocument/2006/relationships/hyperlink" Target="http://web.b.ebscohost.com/ehost/viewarticle/render?data=dGJyMPPp44rp2%2fdV0%2bnjisfk5Ie46bFLtqewTbGk63nn5KxdxsXRbL6vrUqwpbBIr66eTbirsFKwrJ5Zy5zyit%2fk8Xnh6ueH7N%2fiVa%2bot0qxrLFLsaykhN%2fk5VXn6qR84LPwgeac8nnls79mpNfsVb%2bstVCvp7Q%2b5OXwhd%2fqu37z4uqM4%2b7y&amp;vid=9&amp;sid=cdaff68f-4e71-4e8e-be4f-45afbaa3df9c@sessionmgr12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872</Words>
  <Characters>4973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RUSSO</dc:creator>
  <cp:keywords/>
  <dc:description/>
  <cp:lastModifiedBy>paolo russo</cp:lastModifiedBy>
  <cp:revision>2</cp:revision>
  <dcterms:created xsi:type="dcterms:W3CDTF">2023-11-17T09:53:00Z</dcterms:created>
  <dcterms:modified xsi:type="dcterms:W3CDTF">2023-11-17T09:53:00Z</dcterms:modified>
</cp:coreProperties>
</file>